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56" w:val="left" w:leader="none"/>
          <w:tab w:pos="8428" w:val="left" w:leader="none"/>
        </w:tabs>
        <w:spacing w:line="240" w:lineRule="auto"/>
        <w:ind w:left="2948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20"/>
          <w:sz w:val="20"/>
        </w:rPr>
        <w:drawing>
          <wp:inline distT="0" distB="0" distL="0" distR="0">
            <wp:extent cx="1243960" cy="3661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0" cy="3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167993" cy="4106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993" cy="4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17664" cy="49168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64" cy="4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3"/>
        <w:rPr>
          <w:rFonts w:ascii="Times New Roman"/>
          <w:b w:val="0"/>
          <w:sz w:val="25"/>
        </w:rPr>
      </w:pPr>
    </w:p>
    <w:p>
      <w:pPr>
        <w:pStyle w:val="Title"/>
      </w:pPr>
      <w:r>
        <w:rPr/>
        <w:t>RECEITAS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SETEMBRO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2014</w:t>
      </w:r>
    </w:p>
    <w:p>
      <w:pPr>
        <w:pStyle w:val="BodyText"/>
        <w:spacing w:before="6" w:after="1"/>
        <w:rPr>
          <w:sz w:val="18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4"/>
        <w:gridCol w:w="1944"/>
        <w:gridCol w:w="1973"/>
        <w:gridCol w:w="1987"/>
        <w:gridCol w:w="2288"/>
      </w:tblGrid>
      <w:tr>
        <w:trPr>
          <w:trHeight w:val="239" w:hRule="atLeast"/>
        </w:trPr>
        <w:tc>
          <w:tcPr>
            <w:tcW w:w="54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CONTRIBUIÇÕES</w:t>
            </w:r>
          </w:p>
        </w:tc>
        <w:tc>
          <w:tcPr>
            <w:tcW w:w="1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Nº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Segurados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2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Cota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Patronal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1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Cota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Servidores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0" w:lineRule="exact"/>
              <w:ind w:left="6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Prefeitura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Municipal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Petrópolis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879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271.828,94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271.828,94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Câmara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Municipal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Petrópolis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30.308,98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15.154,50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45.463,48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Fundo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Municipal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Educação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3706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506.804,24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1.203.711,57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1.710.515,81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Educação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Monica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Vieira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Freitas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2.157,79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482,92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2.640,71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Fundação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Municipal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Saúde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2065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11.503,54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619.503,62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631.007,16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COMDEP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1.205,77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602,91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1.808,68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Fundação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Cultura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39.811,45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19.905,73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59.717,18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Prefeitura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Municipal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Casimiro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Abreu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 w:right="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1.048,14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524,07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1.572,21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Prefeitura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munic.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Duque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Caxias(Catia)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3.690,72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1.845,36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5.536,08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Justiça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Federal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767,00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383,50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1.150,50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TJ/RJ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455,26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455,26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INPAS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ativos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33.733,00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16.866,44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50.599,44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*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INPAS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inativos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1870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52.592,93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52.592,93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**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INPAS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pensionistas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653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9.333,32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32" w:lineRule="exact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9.333,32</w:t>
            </w:r>
          </w:p>
        </w:tc>
      </w:tr>
      <w:tr>
        <w:trPr>
          <w:trHeight w:val="239" w:hRule="atLeast"/>
        </w:trPr>
        <w:tc>
          <w:tcPr>
            <w:tcW w:w="54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ativos</w:t>
            </w:r>
          </w:p>
        </w:tc>
        <w:tc>
          <w:tcPr>
            <w:tcW w:w="1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6843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631.030,63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2.151.264,82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2.782.295,45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inativos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1870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52.592,93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52.592,93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pensionistas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653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9.333,32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9.333,32</w:t>
            </w:r>
          </w:p>
        </w:tc>
      </w:tr>
      <w:tr>
        <w:trPr>
          <w:trHeight w:val="251" w:hRule="atLeast"/>
        </w:trPr>
        <w:tc>
          <w:tcPr>
            <w:tcW w:w="1363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OUTRAS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Parcelamentos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93.748,77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Atualizações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sobre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parcelamentos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153.227,52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Rendimentos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aplicações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96.214,68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COMPREV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227.183,80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COMPREV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estoque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Custos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operacionais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1.258,85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Prefeitura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munic.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Caxias(catia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)Atualizações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208,31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104,14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312,45</w:t>
            </w:r>
          </w:p>
        </w:tc>
      </w:tr>
      <w:tr>
        <w:trPr>
          <w:trHeight w:val="251" w:hRule="atLeast"/>
        </w:trPr>
        <w:tc>
          <w:tcPr>
            <w:tcW w:w="5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Aluguéis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9.843,61</w:t>
            </w:r>
          </w:p>
        </w:tc>
      </w:tr>
      <w:tr>
        <w:trPr>
          <w:trHeight w:val="225" w:hRule="atLeast"/>
        </w:trPr>
        <w:tc>
          <w:tcPr>
            <w:tcW w:w="54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9366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631.238,94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2.213.295,21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-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3.426.011,38</w:t>
            </w:r>
          </w:p>
        </w:tc>
      </w:tr>
    </w:tbl>
    <w:p>
      <w:pPr>
        <w:pStyle w:val="BodyText"/>
        <w:spacing w:before="236"/>
        <w:ind w:left="188"/>
      </w:pPr>
      <w:r>
        <w:rPr/>
        <w:t>*</w:t>
      </w:r>
      <w:r>
        <w:rPr>
          <w:spacing w:val="10"/>
        </w:rPr>
        <w:t> </w:t>
      </w:r>
      <w:r>
        <w:rPr/>
        <w:t>Quantidade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inativos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contribuem</w:t>
      </w:r>
      <w:r>
        <w:rPr>
          <w:spacing w:val="11"/>
        </w:rPr>
        <w:t> </w:t>
      </w:r>
      <w:r>
        <w:rPr/>
        <w:t>=</w:t>
      </w:r>
      <w:r>
        <w:rPr>
          <w:spacing w:val="53"/>
          <w:w w:val="150"/>
        </w:rPr>
        <w:t> </w:t>
      </w:r>
      <w:r>
        <w:rPr>
          <w:spacing w:val="-5"/>
        </w:rPr>
        <w:t>303</w:t>
      </w:r>
    </w:p>
    <w:p>
      <w:pPr>
        <w:pStyle w:val="BodyText"/>
        <w:spacing w:before="30"/>
        <w:ind w:left="188"/>
      </w:pPr>
      <w:r>
        <w:rPr/>
        <w:t>**</w:t>
      </w:r>
      <w:r>
        <w:rPr>
          <w:spacing w:val="13"/>
        </w:rPr>
        <w:t> </w:t>
      </w:r>
      <w:r>
        <w:rPr/>
        <w:t>Quantidade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pensionistas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contribuem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>
          <w:spacing w:val="-5"/>
        </w:rPr>
        <w:t>42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1275" w:right="17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2"/>
        <w:rPr>
          <w:sz w:val="18"/>
        </w:rPr>
      </w:pPr>
    </w:p>
    <w:p>
      <w:pPr>
        <w:spacing w:before="1"/>
        <w:ind w:left="4621" w:right="0" w:firstLine="0"/>
        <w:jc w:val="left"/>
        <w:rPr>
          <w:rFonts w:ascii="Arial MT"/>
          <w:sz w:val="18"/>
        </w:rPr>
      </w:pPr>
      <w:r>
        <w:rPr>
          <w:rFonts w:ascii="Arial MT"/>
          <w:spacing w:val="-10"/>
          <w:sz w:val="18"/>
        </w:rPr>
        <w:t>0</w:t>
      </w:r>
    </w:p>
    <w:sectPr>
      <w:pgSz w:w="16840" w:h="11900" w:orient="landscape"/>
      <w:pgMar w:top="1340" w:bottom="280" w:left="127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58"/>
    </w:pPr>
    <w:rPr>
      <w:rFonts w:ascii="Arial" w:hAnsi="Arial" w:eastAsia="Arial" w:cs="Arial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gad9</dc:creator>
  <dc:title>Receitas de contribuições - 2014</dc:title>
  <dcterms:created xsi:type="dcterms:W3CDTF">2025-07-08T13:39:41Z</dcterms:created>
  <dcterms:modified xsi:type="dcterms:W3CDTF">2025-07-08T13:39:41Z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9.02</vt:lpwstr>
  </property>
</Properties>
</file>