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60" w:lineRule="auto" w:before="241"/>
        <w:ind w:left="143" w:right="136"/>
        <w:jc w:val="both"/>
      </w:pPr>
      <w:r>
        <w:rPr>
          <w:color w:val="000009"/>
        </w:rPr>
        <w:t>Às 10:30 h do dia 28 de Novembro de 2017, terça-feira, foi realizada a reunião Ordinária do Conselho Municipal de Previdência de Petrópolis – CMPP. Presentes os Conselheiros e</w:t>
      </w:r>
      <w:r>
        <w:rPr>
          <w:color w:val="000009"/>
          <w:spacing w:val="40"/>
        </w:rPr>
        <w:t> </w:t>
      </w:r>
      <w:r>
        <w:rPr>
          <w:color w:val="000009"/>
        </w:rPr>
        <w:t>servidores do Inpas, que assinaram o Livro de Presença. O Presidente do Conselho, Fernando Leite Fortes, cumprimenta os presentes e passa ao primeiro item da pauta – Leitura da Ata</w:t>
      </w:r>
      <w:r>
        <w:rPr>
          <w:color w:val="000009"/>
          <w:spacing w:val="40"/>
        </w:rPr>
        <w:t> </w:t>
      </w:r>
      <w:r>
        <w:rPr>
          <w:color w:val="000009"/>
        </w:rPr>
        <w:t>da reunião anterior. O Presidente pede ao conselheiro Dr. Luiz David Facchetti, suplente do Secretário de Saúde, Silmar Leite Fortes, para realizar a leitura; ao final, pergunta se existem correções a serem feitas, nada havendo, a ata é aprovada</w:t>
      </w:r>
      <w:r>
        <w:rPr/>
        <w:t>. Para ciência dos Conselheiros, o Presidente, faz a Leitura do ofício encaminhado pelo Secretário de Educação, Sr. Anderson Juliano, que fala sobre a substituição da sua suplente, Sra. Fabiana Abreu Pôncio pela Sra. Jaqueline Palmeira Pomin Costa. O Presidente passa para o próximo item da pauta – Apresentação</w:t>
      </w:r>
      <w:r>
        <w:rPr>
          <w:spacing w:val="-2"/>
        </w:rPr>
        <w:t> </w:t>
      </w:r>
      <w:r>
        <w:rPr/>
        <w:t>do relatório, em cumprimento</w:t>
      </w:r>
      <w:r>
        <w:rPr>
          <w:spacing w:val="-2"/>
        </w:rPr>
        <w:t> </w:t>
      </w:r>
      <w:r>
        <w:rPr/>
        <w:t>à Portaria n°</w:t>
      </w:r>
      <w:r>
        <w:rPr>
          <w:spacing w:val="-2"/>
        </w:rPr>
        <w:t> </w:t>
      </w:r>
      <w:r>
        <w:rPr/>
        <w:t>519/2011 do</w:t>
      </w:r>
      <w:r>
        <w:rPr>
          <w:spacing w:val="-2"/>
        </w:rPr>
        <w:t> </w:t>
      </w:r>
      <w:r>
        <w:rPr/>
        <w:t>MPS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Deliberação sobre</w:t>
      </w:r>
      <w:r>
        <w:rPr>
          <w:spacing w:val="-2"/>
        </w:rPr>
        <w:t> </w:t>
      </w:r>
      <w:r>
        <w:rPr/>
        <w:t>a Política de Investimentos, para o exercício do ano de 2018; convida a Gestora de Investimento, Michele Schiffler Foster, para fazer a apresentação do relatório. Michele cumprimenta a todos os presentes, fala que em cumprimento à Portaria n° 519/2011 gostaria de dar uma posição aos conselheiros de como foi o fechamento do Terceiro Trimestre do ano de 2017. Esclarece que todas as informações detalhadas mês a mês, estão disponíveis no site do Inpas. Para sintetizar o Instituto iniciou, em janeiro de 2017 com R$ 609.879,72 (seiscentos e nove mil, oitocentos e setenta e nove reais e setenta e dois centavos) em aplicações e foram feitas aplicações que totalizaram R$ 6.736.000,00 (seis milhões setecentos e trinta e seis mil) e resgates de R$6.954.345,10 (seis milhões novecentos e cinquenta e quatro mil, trezentos e quarenta e cinco reais e dez centavos) fechando o mês de setembro com R$517.251,71 (quinhentos e dezessete mil, duzentos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cinquenta</w:t>
      </w:r>
      <w:r>
        <w:rPr>
          <w:spacing w:val="-1"/>
        </w:rPr>
        <w:t> </w:t>
      </w:r>
      <w:r>
        <w:rPr/>
        <w:t>e um reais e</w:t>
      </w:r>
      <w:r>
        <w:rPr>
          <w:spacing w:val="-1"/>
        </w:rPr>
        <w:t> </w:t>
      </w:r>
      <w:r>
        <w:rPr/>
        <w:t>setenta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um centavos).</w:t>
      </w:r>
      <w:r>
        <w:rPr>
          <w:spacing w:val="-11"/>
        </w:rPr>
        <w:t> </w:t>
      </w:r>
      <w:r>
        <w:rPr/>
        <w:t>Até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fechamento</w:t>
      </w:r>
      <w:r>
        <w:rPr>
          <w:spacing w:val="-1"/>
        </w:rPr>
        <w:t> </w:t>
      </w:r>
      <w:r>
        <w:rPr/>
        <w:t>de setembro, os rendimentos totalizaram R$ 125.717,09 (cento e vinte e cinco mil, setecentos e dezessete reais e nove centavos) explica que o gráfico apresentado é para mostrar que todos os investimentos</w:t>
      </w:r>
      <w:r>
        <w:rPr>
          <w:spacing w:val="40"/>
        </w:rPr>
        <w:t> </w:t>
      </w:r>
      <w:r>
        <w:rPr/>
        <w:t>estão enquadrados na Resolução do Banco Central. Complementa que já existe uma nova resolução, porém a utilizada foi a Resolução n° 4.392. A seguir, mostra a diversificação dos investimentos em 30 de setembro, que representavam R$ 483.862,70 (quatrocentos e oitenta e três mil oitocentos e sessenta e dois reais e setenta centavos) em IRFM1 que são títulos pré- fixados, com</w:t>
      </w:r>
      <w:r>
        <w:rPr>
          <w:spacing w:val="-1"/>
        </w:rPr>
        <w:t> </w:t>
      </w:r>
      <w:r>
        <w:rPr/>
        <w:t>prazo de 1 ano e R$33.389,01 (trinta e três mil,</w:t>
      </w:r>
      <w:r>
        <w:rPr>
          <w:spacing w:val="-1"/>
        </w:rPr>
        <w:t> </w:t>
      </w:r>
      <w:r>
        <w:rPr/>
        <w:t>trezentos</w:t>
      </w:r>
      <w:r>
        <w:rPr>
          <w:spacing w:val="-2"/>
        </w:rPr>
        <w:t> </w:t>
      </w:r>
      <w:r>
        <w:rPr/>
        <w:t>e oitenta e nove reais e um centavo) em IRFM que também é pré-fixado; estavam distribuídos da seguinte forma: R$ 188.744,24 (cento e oitenta e oito mil, setecentos e quarenta e quatro reais e vinte e quatro </w:t>
      </w:r>
      <w:r>
        <w:rPr>
          <w:spacing w:val="-2"/>
        </w:rPr>
        <w:t>centavos)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1412" w:footer="1483" w:top="2420" w:bottom="1680" w:left="992" w:right="992"/>
          <w:pgNumType w:start="54"/>
        </w:sectPr>
      </w:pPr>
    </w:p>
    <w:p>
      <w:pPr>
        <w:pStyle w:val="BodyText"/>
        <w:spacing w:line="360" w:lineRule="auto" w:before="241"/>
        <w:ind w:left="143" w:right="139"/>
        <w:jc w:val="both"/>
      </w:pPr>
      <w:r>
        <w:rPr/>
        <w:t>encontravam-se sob a custódia</w:t>
      </w:r>
      <w:r>
        <w:rPr>
          <w:spacing w:val="40"/>
        </w:rPr>
        <w:t> </w:t>
      </w:r>
      <w:r>
        <w:rPr/>
        <w:t>do Banco do Brasil e R$ 328.507,47 (trezentos e vinte e oito mil, quinhentos e sete reais e quarenta e sete centavos), na Caixa Econômica totalizando 63% e 36% no Banco do Brasil, tendo um recurso maior na Caixa Econômica devido a movimentação de recebimentos de repasses. Relata que a meta atuarial é INPC +6%, observando que todos os meses</w:t>
      </w:r>
      <w:r>
        <w:rPr>
          <w:spacing w:val="-4"/>
        </w:rPr>
        <w:t> </w:t>
      </w:r>
      <w:r>
        <w:rPr/>
        <w:t>essa</w:t>
      </w:r>
      <w:r>
        <w:rPr>
          <w:spacing w:val="-1"/>
        </w:rPr>
        <w:t> </w:t>
      </w:r>
      <w:r>
        <w:rPr/>
        <w:t>meta</w:t>
      </w:r>
      <w:r>
        <w:rPr>
          <w:spacing w:val="-2"/>
        </w:rPr>
        <w:t> </w:t>
      </w:r>
      <w:r>
        <w:rPr/>
        <w:t>foi</w:t>
      </w:r>
      <w:r>
        <w:rPr>
          <w:spacing w:val="-2"/>
        </w:rPr>
        <w:t> </w:t>
      </w:r>
      <w:r>
        <w:rPr/>
        <w:t>atingida. Com</w:t>
      </w:r>
      <w:r>
        <w:rPr>
          <w:spacing w:val="-1"/>
        </w:rPr>
        <w:t> </w:t>
      </w:r>
      <w:r>
        <w:rPr/>
        <w:t>isso</w:t>
      </w:r>
      <w:r>
        <w:rPr>
          <w:spacing w:val="-1"/>
        </w:rPr>
        <w:t> </w:t>
      </w:r>
      <w:r>
        <w:rPr/>
        <w:t>obteve-se</w:t>
      </w:r>
      <w:r>
        <w:rPr>
          <w:spacing w:val="-1"/>
        </w:rPr>
        <w:t> </w:t>
      </w:r>
      <w:r>
        <w:rPr/>
        <w:t>42,67%</w:t>
      </w:r>
      <w:r>
        <w:rPr>
          <w:spacing w:val="-4"/>
        </w:rPr>
        <w:t> </w:t>
      </w:r>
      <w:r>
        <w:rPr/>
        <w:t>acima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meta,</w:t>
      </w:r>
      <w:r>
        <w:rPr>
          <w:spacing w:val="-3"/>
        </w:rPr>
        <w:t> </w:t>
      </w:r>
      <w:r>
        <w:rPr/>
        <w:t>atingindo</w:t>
      </w:r>
      <w:r>
        <w:rPr>
          <w:spacing w:val="-1"/>
        </w:rPr>
        <w:t> </w:t>
      </w:r>
      <w:r>
        <w:rPr/>
        <w:t>142,67%, </w:t>
      </w:r>
      <w:r>
        <w:rPr>
          <w:spacing w:val="-5"/>
        </w:rPr>
        <w:t>até</w:t>
      </w:r>
    </w:p>
    <w:p>
      <w:pPr>
        <w:pStyle w:val="BodyText"/>
        <w:spacing w:line="250" w:lineRule="exact"/>
        <w:ind w:left="143"/>
        <w:jc w:val="both"/>
      </w:pPr>
      <w:r>
        <w:rPr/>
        <w:t>o</w:t>
      </w:r>
      <w:r>
        <w:rPr>
          <w:spacing w:val="-1"/>
        </w:rPr>
        <w:t> </w:t>
      </w:r>
      <w:r>
        <w:rPr/>
        <w:t>fim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mês de</w:t>
      </w:r>
      <w:r>
        <w:rPr>
          <w:spacing w:val="-1"/>
        </w:rPr>
        <w:t> </w:t>
      </w:r>
      <w:r>
        <w:rPr/>
        <w:t>setembro.</w:t>
      </w:r>
      <w:r>
        <w:rPr>
          <w:spacing w:val="1"/>
        </w:rPr>
        <w:t> </w:t>
      </w:r>
      <w:r>
        <w:rPr/>
        <w:t>Mostra</w:t>
      </w:r>
      <w:r>
        <w:rPr>
          <w:spacing w:val="1"/>
        </w:rPr>
        <w:t> </w:t>
      </w:r>
      <w:r>
        <w:rPr/>
        <w:t>a posição</w:t>
      </w:r>
      <w:r>
        <w:rPr>
          <w:spacing w:val="2"/>
        </w:rPr>
        <w:t> </w:t>
      </w:r>
      <w:r>
        <w:rPr/>
        <w:t>dos</w:t>
      </w:r>
      <w:r>
        <w:rPr>
          <w:spacing w:val="-1"/>
        </w:rPr>
        <w:t> </w:t>
      </w:r>
      <w:r>
        <w:rPr/>
        <w:t>investimento e</w:t>
      </w:r>
      <w:r>
        <w:rPr>
          <w:spacing w:val="-1"/>
        </w:rPr>
        <w:t> </w:t>
      </w:r>
      <w:r>
        <w:rPr/>
        <w:t>tudo o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foi</w:t>
      </w:r>
      <w:r>
        <w:rPr>
          <w:spacing w:val="1"/>
        </w:rPr>
        <w:t> </w:t>
      </w:r>
      <w:r>
        <w:rPr/>
        <w:t>feito</w:t>
      </w:r>
      <w:r>
        <w:rPr>
          <w:spacing w:val="1"/>
        </w:rPr>
        <w:t> </w:t>
      </w:r>
      <w:r>
        <w:rPr/>
        <w:t>de janeiro,</w:t>
      </w:r>
      <w:r>
        <w:rPr>
          <w:spacing w:val="1"/>
        </w:rPr>
        <w:t> </w:t>
      </w:r>
      <w:r>
        <w:rPr>
          <w:spacing w:val="-5"/>
        </w:rPr>
        <w:t>até</w:t>
      </w:r>
    </w:p>
    <w:p>
      <w:pPr>
        <w:pStyle w:val="BodyText"/>
        <w:spacing w:line="360" w:lineRule="auto" w:before="127"/>
        <w:ind w:left="143" w:right="136"/>
        <w:jc w:val="both"/>
      </w:pPr>
      <w:r>
        <w:rPr/>
        <w:t>o fechamento de setembro.</w:t>
      </w:r>
      <w:r>
        <w:rPr>
          <w:spacing w:val="80"/>
        </w:rPr>
        <w:t> </w:t>
      </w:r>
      <w:r>
        <w:rPr/>
        <w:t>Baseada nesta estratégia</w:t>
      </w:r>
      <w:r>
        <w:rPr>
          <w:spacing w:val="79"/>
        </w:rPr>
        <w:t> </w:t>
      </w:r>
      <w:r>
        <w:rPr/>
        <w:t>é necessário aprovar</w:t>
      </w:r>
      <w:r>
        <w:rPr>
          <w:spacing w:val="80"/>
        </w:rPr>
        <w:t> </w:t>
      </w:r>
      <w:r>
        <w:rPr/>
        <w:t>e discutir a Política de Investimentos para o ano de 2018, que já foi encaminhada cópia para todos os conselheiros, por e-mail. Pergunta se todos os conselheiros receberam, os presentes afirmam que sim.</w:t>
      </w:r>
      <w:r>
        <w:rPr>
          <w:spacing w:val="80"/>
        </w:rPr>
        <w:t> </w:t>
      </w:r>
      <w:r>
        <w:rPr/>
        <w:t>Fala que esta Política é composta por dois quadros: um</w:t>
      </w:r>
      <w:r>
        <w:rPr>
          <w:spacing w:val="40"/>
        </w:rPr>
        <w:t> </w:t>
      </w:r>
      <w:r>
        <w:rPr/>
        <w:t>mais extenso, contendo bases legais, cópias das Leis e norteamento das aplicações e</w:t>
      </w:r>
      <w:r>
        <w:rPr>
          <w:spacing w:val="40"/>
        </w:rPr>
        <w:t> </w:t>
      </w:r>
      <w:r>
        <w:rPr/>
        <w:t>o outro contém as decisões do comitê, como limites aplicados no ano de 2018. O comitê optou por uma estratégia extremamente conservadora, priorizando liquidez e os índices de baixo risco,</w:t>
      </w:r>
      <w:r>
        <w:rPr>
          <w:spacing w:val="40"/>
        </w:rPr>
        <w:t> </w:t>
      </w:r>
      <w:r>
        <w:rPr/>
        <w:t>deixando uma possibilidade de 10%</w:t>
      </w:r>
      <w:r>
        <w:rPr>
          <w:spacing w:val="40"/>
        </w:rPr>
        <w:t> </w:t>
      </w:r>
      <w:r>
        <w:rPr/>
        <w:t>para</w:t>
      </w:r>
      <w:r>
        <w:rPr>
          <w:spacing w:val="-1"/>
        </w:rPr>
        <w:t> </w:t>
      </w:r>
      <w:r>
        <w:rPr/>
        <w:t>Títulos do Tesouro Nacional, 100% para Fundos de Investimentos Títulos do Tesouro Nacional, sendo o utilizado no momento. 10% são subcategorias dos Fundos Referenciados e 30%</w:t>
      </w:r>
      <w:r>
        <w:rPr>
          <w:spacing w:val="40"/>
        </w:rPr>
        <w:t> </w:t>
      </w:r>
      <w:r>
        <w:rPr/>
        <w:t>FI de Índice Referenciado em Renda Fixa. Complementa que a Resolução</w:t>
      </w:r>
      <w:r>
        <w:rPr>
          <w:spacing w:val="80"/>
        </w:rPr>
        <w:t> </w:t>
      </w:r>
      <w:r>
        <w:rPr/>
        <w:t>Publicada,</w:t>
      </w:r>
      <w:r>
        <w:rPr>
          <w:spacing w:val="80"/>
        </w:rPr>
        <w:t> </w:t>
      </w:r>
      <w:r>
        <w:rPr/>
        <w:t>no dia 19 de outubro de 2017, ampliou os limites e colocou novos instrumentos</w:t>
      </w:r>
      <w:r>
        <w:rPr>
          <w:spacing w:val="40"/>
        </w:rPr>
        <w:t> </w:t>
      </w:r>
      <w:r>
        <w:rPr/>
        <w:t>financeiros</w:t>
      </w:r>
      <w:r>
        <w:rPr>
          <w:spacing w:val="40"/>
        </w:rPr>
        <w:t> </w:t>
      </w:r>
      <w:r>
        <w:rPr/>
        <w:t>à disposição dos RPPS, mas o comitê optou por não aderir a esses novos limites e sim por manter a liquidez e prezar</w:t>
      </w:r>
      <w:r>
        <w:rPr>
          <w:spacing w:val="40"/>
        </w:rPr>
        <w:t> </w:t>
      </w:r>
      <w:r>
        <w:rPr/>
        <w:t>pelos índices de baixo risco. Caso o cenário mude e o comitê vislumbre uma oportunidade será levado ao conhecimento do conselho, para que seja revisto e aplicado. Mediante a essas condições, pergunta se todos os conselheiros estão de acordo com a conduta que o comitê adotou. Todos os conselheiros presentes concordam e aprovam. Michele reforça que essa conduta será aplicada no ano de 2018. Fala que o comitê, encontra-se à disposição de todos os conselheiros. Michele agradece a todos os presentes e encerra sua apresentação. O Presidente passa para o próximo item da pauta – Assuntos Gerais; Fala da importância da Recuperação do COMPREV. Diz que foi criada, através de Lei Municipal, uma Coordenadoria de Compensação Financeira; essa Coordenadoria será composta por servidores do próprio Inpas e iniciará suas atividades a partir de Janeiro de 2018. Explica que é necessário a obtenção de</w:t>
      </w:r>
      <w:r>
        <w:rPr>
          <w:spacing w:val="40"/>
        </w:rPr>
        <w:t> </w:t>
      </w:r>
      <w:r>
        <w:rPr/>
        <w:t>espaço dentro do Instituto para acomodar a nova Coordenadoria. Com isso, comunica aos conselheiros</w:t>
      </w:r>
      <w:r>
        <w:rPr>
          <w:spacing w:val="40"/>
        </w:rPr>
        <w:t> </w:t>
      </w:r>
      <w:r>
        <w:rPr/>
        <w:t>que surgiu no fim deste mês de novembro, a oportunidade de alugar duas salas localizadas ao lado da entrada principal do Inpas.</w:t>
      </w:r>
    </w:p>
    <w:p>
      <w:pPr>
        <w:pStyle w:val="BodyText"/>
        <w:spacing w:after="0" w:line="360" w:lineRule="auto"/>
        <w:jc w:val="both"/>
        <w:sectPr>
          <w:pgSz w:w="11900" w:h="16840"/>
          <w:pgMar w:header="1412" w:footer="1483" w:top="2420" w:bottom="1680" w:left="992" w:right="992"/>
        </w:sectPr>
      </w:pPr>
    </w:p>
    <w:p>
      <w:pPr>
        <w:pStyle w:val="BodyText"/>
        <w:spacing w:line="360" w:lineRule="auto" w:before="241"/>
        <w:ind w:left="143" w:right="136"/>
        <w:jc w:val="both"/>
      </w:pPr>
      <w:r>
        <w:rPr/>
        <w:t>Fala que seria uma grande oportunidade para o Instituto, tendo em vista a ampliação do espaço. Reforça que o Inpas já se desfez de salas que fizeram parte de seu patrimônio e agora tem a oportunidade de recuperar os bens vendidos nas Gestões anteriores. O conselheiro, Sr. Evandro Luiz Mello, representante da CMP, pergunta se já foi</w:t>
      </w:r>
      <w:r>
        <w:rPr>
          <w:spacing w:val="-1"/>
        </w:rPr>
        <w:t> </w:t>
      </w:r>
      <w:r>
        <w:rPr/>
        <w:t>levantado o valor de mercado do imóvel e se futuramente existe a possibilidade de compra. O Presidente explica que o valor de locação ficará em torno de R$ 1.100,00 (um mil e cem reais) cada sala e que será um bom investimento, com a criação</w:t>
      </w:r>
      <w:r>
        <w:rPr>
          <w:spacing w:val="-1"/>
        </w:rPr>
        <w:t> </w:t>
      </w:r>
      <w:r>
        <w:rPr/>
        <w:t>desta</w:t>
      </w:r>
      <w:r>
        <w:rPr>
          <w:spacing w:val="-1"/>
        </w:rPr>
        <w:t> </w:t>
      </w:r>
      <w:r>
        <w:rPr/>
        <w:t>coordenadoria</w:t>
      </w:r>
      <w:r>
        <w:rPr>
          <w:spacing w:val="-1"/>
        </w:rPr>
        <w:t> </w:t>
      </w:r>
      <w:r>
        <w:rPr/>
        <w:t>pretende</w:t>
      </w:r>
      <w:r>
        <w:rPr>
          <w:spacing w:val="-1"/>
        </w:rPr>
        <w:t> </w:t>
      </w:r>
      <w:r>
        <w:rPr/>
        <w:t>aumentar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Receita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Inpas, para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2018. Fala</w:t>
      </w:r>
      <w:r>
        <w:rPr>
          <w:spacing w:val="-1"/>
        </w:rPr>
        <w:t> </w:t>
      </w:r>
      <w:r>
        <w:rPr/>
        <w:t>que na cláusula contratual do Processo de locação, será feito por 3 anos com opção de compra com valor de mercado à época. Complementa que conversará com o Prefeito Bernardo Rossi sobre a possibilidade de adquirir este patrimônio para o Inpas, no ano de 2019. O conselheiro Dr. Luiz David Facchetti, pede a palavra e esclarece que é importante aguardar os resultados do COMPREV para realização de compra do Imóvel. A conselheira Rosane Carvalho do Amaral, representante do SINDFISC, indaga se não seria viável incluir esse assunto como pauta da reunião e não colocá-lo como assuntos gerais. O Presidente explica que não teve tempo hábil</w:t>
      </w:r>
      <w:r>
        <w:rPr>
          <w:spacing w:val="40"/>
        </w:rPr>
        <w:t> </w:t>
      </w:r>
      <w:r>
        <w:rPr/>
        <w:t>para tratar como assunto de pauta e, pela necessidade de aprovação dos conselheiros, para realizar a locação das salas, trouxe ao conselho como assuntos gerais. O Presidente pergunta se todos os conselheiros concordam com a locação das salas. Os 13 conselheiros presentes aprovam e autorizam. O Presidente passa para o próximo assunto –</w:t>
      </w:r>
      <w:r>
        <w:rPr>
          <w:spacing w:val="-2"/>
        </w:rPr>
        <w:t> </w:t>
      </w:r>
      <w:r>
        <w:rPr/>
        <w:t>Ato Normativo n° 001 de 30 de Novembro de 2016; que foi criado pelo Diretor-Presidente, da gestão anterior, em 30 de Novembro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2016 e</w:t>
      </w:r>
      <w:r>
        <w:rPr>
          <w:spacing w:val="-1"/>
        </w:rPr>
        <w:t> </w:t>
      </w:r>
      <w:r>
        <w:rPr/>
        <w:t>sendo Publicado em Diário</w:t>
      </w:r>
      <w:r>
        <w:rPr>
          <w:spacing w:val="-1"/>
        </w:rPr>
        <w:t> </w:t>
      </w:r>
      <w:r>
        <w:rPr/>
        <w:t>Oficial em 30</w:t>
      </w:r>
      <w:r>
        <w:rPr>
          <w:spacing w:val="-1"/>
        </w:rPr>
        <w:t> </w:t>
      </w:r>
      <w:r>
        <w:rPr/>
        <w:t>de Dezembro</w:t>
      </w:r>
      <w:r>
        <w:rPr>
          <w:spacing w:val="-1"/>
        </w:rPr>
        <w:t> </w:t>
      </w:r>
      <w:r>
        <w:rPr/>
        <w:t>de 2016. Explica que as</w:t>
      </w:r>
      <w:r>
        <w:rPr>
          <w:spacing w:val="-8"/>
        </w:rPr>
        <w:t> </w:t>
      </w:r>
      <w:r>
        <w:rPr/>
        <w:t>Associações e Instituições Financeiras descontam 2% sobre as negociações consignadas. Por não ter tido a aprovação do CMPP, na época, não colocou em ação o Ato normativo do ano de 2016 e</w:t>
      </w:r>
      <w:r>
        <w:rPr>
          <w:spacing w:val="-1"/>
        </w:rPr>
        <w:t> </w:t>
      </w:r>
      <w:r>
        <w:rPr/>
        <w:t>continuou</w:t>
      </w:r>
      <w:r>
        <w:rPr>
          <w:spacing w:val="-1"/>
        </w:rPr>
        <w:t> </w:t>
      </w:r>
      <w:r>
        <w:rPr/>
        <w:t>utilizando-se</w:t>
      </w:r>
      <w:r>
        <w:rPr>
          <w:spacing w:val="-1"/>
        </w:rPr>
        <w:t> </w:t>
      </w:r>
      <w:r>
        <w:rPr/>
        <w:t>do</w:t>
      </w:r>
      <w:r>
        <w:rPr>
          <w:spacing w:val="-12"/>
        </w:rPr>
        <w:t> </w:t>
      </w:r>
      <w:r>
        <w:rPr/>
        <w:t>Ato</w:t>
      </w:r>
      <w:r>
        <w:rPr>
          <w:spacing w:val="-1"/>
        </w:rPr>
        <w:t> </w:t>
      </w:r>
      <w:r>
        <w:rPr/>
        <w:t>Normativo do</w:t>
      </w:r>
      <w:r>
        <w:rPr>
          <w:spacing w:val="-1"/>
        </w:rPr>
        <w:t> </w:t>
      </w:r>
      <w:r>
        <w:rPr/>
        <w:t>ano de</w:t>
      </w:r>
      <w:r>
        <w:rPr>
          <w:spacing w:val="-1"/>
        </w:rPr>
        <w:t> </w:t>
      </w:r>
      <w:r>
        <w:rPr/>
        <w:t>2002. Pede</w:t>
      </w:r>
      <w:r>
        <w:rPr>
          <w:spacing w:val="-1"/>
        </w:rPr>
        <w:t> </w:t>
      </w:r>
      <w:r>
        <w:rPr/>
        <w:t>a autorização</w:t>
      </w:r>
      <w:r>
        <w:rPr>
          <w:spacing w:val="-1"/>
        </w:rPr>
        <w:t> </w:t>
      </w:r>
      <w:r>
        <w:rPr/>
        <w:t>do conselho para anulação do</w:t>
      </w:r>
      <w:r>
        <w:rPr>
          <w:spacing w:val="-4"/>
        </w:rPr>
        <w:t> </w:t>
      </w:r>
      <w:r>
        <w:rPr/>
        <w:t>Ato Normativo n° 001 de 30 de Novembro de 2016. Os conselheiros autorizam. O Presidente fala que no início de 2018 será necessário estar com todos os representantes das Instituições para a elaboração de um novo Ato Normativo, atendendo a todos, passando sempre pela aprovação do Conselho. O Presidente pergunta se alguém tem algo a dizer, nada mais havendo a tratar, agradece a presença de todos e encerra a reunião às 11:30 h. Lavrada a presente</w:t>
      </w:r>
      <w:r>
        <w:rPr>
          <w:spacing w:val="-6"/>
        </w:rPr>
        <w:t> </w:t>
      </w:r>
      <w:r>
        <w:rPr/>
        <w:t>Ata que segue assinada pelos presentes e por mim, Michelle Lopes, quem a digitou.</w:t>
      </w:r>
    </w:p>
    <w:p>
      <w:pPr>
        <w:pStyle w:val="BodyText"/>
        <w:spacing w:after="0" w:line="360" w:lineRule="auto"/>
        <w:jc w:val="both"/>
        <w:sectPr>
          <w:pgSz w:w="11900" w:h="16840"/>
          <w:pgMar w:header="1412" w:footer="1483" w:top="2420" w:bottom="1680" w:left="992" w:right="99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8"/>
        <w:rPr>
          <w:sz w:val="20"/>
        </w:rPr>
      </w:pPr>
    </w:p>
    <w:tbl>
      <w:tblPr>
        <w:tblW w:w="0" w:type="auto"/>
        <w:jc w:val="left"/>
        <w:tblInd w:w="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7"/>
        <w:gridCol w:w="3410"/>
        <w:gridCol w:w="3338"/>
      </w:tblGrid>
      <w:tr>
        <w:trPr>
          <w:trHeight w:val="513" w:hRule="atLeast"/>
        </w:trPr>
        <w:tc>
          <w:tcPr>
            <w:tcW w:w="2887" w:type="dxa"/>
          </w:tcPr>
          <w:p>
            <w:pPr>
              <w:pStyle w:val="TableParagraph"/>
              <w:spacing w:line="246" w:lineRule="exact" w:before="0"/>
              <w:ind w:left="293"/>
              <w:rPr>
                <w:sz w:val="22"/>
              </w:rPr>
            </w:pPr>
            <w:r>
              <w:rPr>
                <w:sz w:val="22"/>
              </w:rPr>
              <w:t>Evandro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Luiz</w:t>
            </w:r>
            <w:r>
              <w:rPr>
                <w:spacing w:val="-4"/>
                <w:sz w:val="22"/>
              </w:rPr>
              <w:t> Mello</w:t>
            </w:r>
          </w:p>
        </w:tc>
        <w:tc>
          <w:tcPr>
            <w:tcW w:w="3410" w:type="dxa"/>
          </w:tcPr>
          <w:p>
            <w:pPr>
              <w:pStyle w:val="TableParagraph"/>
              <w:spacing w:line="246" w:lineRule="exact" w:before="0"/>
              <w:ind w:left="466"/>
              <w:rPr>
                <w:sz w:val="22"/>
              </w:rPr>
            </w:pPr>
            <w:r>
              <w:rPr>
                <w:sz w:val="22"/>
              </w:rPr>
              <w:t>Eduardo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Gomes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Barbosa</w:t>
            </w:r>
          </w:p>
        </w:tc>
        <w:tc>
          <w:tcPr>
            <w:tcW w:w="3338" w:type="dxa"/>
          </w:tcPr>
          <w:p>
            <w:pPr>
              <w:pStyle w:val="TableParagraph"/>
              <w:spacing w:line="246" w:lineRule="exact" w:before="0"/>
              <w:ind w:left="460"/>
              <w:rPr>
                <w:sz w:val="22"/>
              </w:rPr>
            </w:pPr>
            <w:r>
              <w:rPr>
                <w:sz w:val="22"/>
              </w:rPr>
              <w:t>Fábio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Ferreira</w:t>
            </w:r>
          </w:p>
        </w:tc>
      </w:tr>
      <w:tr>
        <w:trPr>
          <w:trHeight w:val="897" w:hRule="atLeast"/>
        </w:trPr>
        <w:tc>
          <w:tcPr>
            <w:tcW w:w="2887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Francisco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Afonso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Eccard</w:t>
            </w:r>
          </w:p>
        </w:tc>
        <w:tc>
          <w:tcPr>
            <w:tcW w:w="3410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404"/>
              <w:rPr>
                <w:sz w:val="22"/>
              </w:rPr>
            </w:pPr>
            <w:r>
              <w:rPr>
                <w:sz w:val="22"/>
              </w:rPr>
              <w:t>Fernando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Leite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Fortes</w:t>
            </w:r>
          </w:p>
        </w:tc>
        <w:tc>
          <w:tcPr>
            <w:tcW w:w="3338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460"/>
              <w:rPr>
                <w:sz w:val="22"/>
              </w:rPr>
            </w:pPr>
            <w:r>
              <w:rPr>
                <w:sz w:val="22"/>
              </w:rPr>
              <w:t>Gilson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Domingos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Silva</w:t>
            </w:r>
          </w:p>
        </w:tc>
      </w:tr>
      <w:tr>
        <w:trPr>
          <w:trHeight w:val="1073" w:hRule="atLeast"/>
        </w:trPr>
        <w:tc>
          <w:tcPr>
            <w:tcW w:w="2887" w:type="dxa"/>
          </w:tcPr>
          <w:p>
            <w:pPr>
              <w:pStyle w:val="TableParagraph"/>
              <w:spacing w:before="122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Iris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Palma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Magalhães</w:t>
            </w:r>
          </w:p>
        </w:tc>
        <w:tc>
          <w:tcPr>
            <w:tcW w:w="3410" w:type="dxa"/>
          </w:tcPr>
          <w:p>
            <w:pPr>
              <w:pStyle w:val="TableParagraph"/>
              <w:spacing w:before="122"/>
              <w:rPr>
                <w:sz w:val="22"/>
              </w:rPr>
            </w:pPr>
          </w:p>
          <w:p>
            <w:pPr>
              <w:pStyle w:val="TableParagraph"/>
              <w:ind w:left="466"/>
              <w:rPr>
                <w:sz w:val="22"/>
              </w:rPr>
            </w:pPr>
            <w:r>
              <w:rPr>
                <w:sz w:val="22"/>
              </w:rPr>
              <w:t>Rosane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Amaral</w:t>
            </w:r>
          </w:p>
        </w:tc>
        <w:tc>
          <w:tcPr>
            <w:tcW w:w="3338" w:type="dxa"/>
          </w:tcPr>
          <w:p>
            <w:pPr>
              <w:pStyle w:val="TableParagraph"/>
              <w:spacing w:before="122"/>
              <w:rPr>
                <w:sz w:val="22"/>
              </w:rPr>
            </w:pPr>
          </w:p>
          <w:p>
            <w:pPr>
              <w:pStyle w:val="TableParagraph"/>
              <w:ind w:left="754"/>
              <w:rPr>
                <w:sz w:val="22"/>
              </w:rPr>
            </w:pPr>
            <w:r>
              <w:rPr>
                <w:sz w:val="22"/>
              </w:rPr>
              <w:t>Arlete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Barbosa</w:t>
            </w:r>
          </w:p>
        </w:tc>
      </w:tr>
      <w:tr>
        <w:trPr>
          <w:trHeight w:val="1136" w:hRule="atLeast"/>
        </w:trPr>
        <w:tc>
          <w:tcPr>
            <w:tcW w:w="2887" w:type="dxa"/>
          </w:tcPr>
          <w:p>
            <w:pPr>
              <w:pStyle w:val="TableParagraph"/>
              <w:spacing w:before="184"/>
              <w:rPr>
                <w:sz w:val="22"/>
              </w:rPr>
            </w:pPr>
          </w:p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Jair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Nunes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Almas</w:t>
            </w:r>
          </w:p>
        </w:tc>
        <w:tc>
          <w:tcPr>
            <w:tcW w:w="3410" w:type="dxa"/>
          </w:tcPr>
          <w:p>
            <w:pPr>
              <w:pStyle w:val="TableParagraph"/>
              <w:spacing w:before="184"/>
              <w:rPr>
                <w:sz w:val="22"/>
              </w:rPr>
            </w:pPr>
          </w:p>
          <w:p>
            <w:pPr>
              <w:pStyle w:val="TableParagraph"/>
              <w:ind w:left="466"/>
              <w:rPr>
                <w:sz w:val="22"/>
              </w:rPr>
            </w:pPr>
            <w:r>
              <w:rPr>
                <w:sz w:val="22"/>
              </w:rPr>
              <w:t>Luciane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Amaral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Michelli</w:t>
            </w:r>
          </w:p>
        </w:tc>
        <w:tc>
          <w:tcPr>
            <w:tcW w:w="3338" w:type="dxa"/>
          </w:tcPr>
          <w:p>
            <w:pPr>
              <w:pStyle w:val="TableParagraph"/>
              <w:spacing w:before="184"/>
              <w:rPr>
                <w:sz w:val="22"/>
              </w:rPr>
            </w:pPr>
          </w:p>
          <w:p>
            <w:pPr>
              <w:pStyle w:val="TableParagraph"/>
              <w:ind w:left="644"/>
              <w:rPr>
                <w:sz w:val="22"/>
              </w:rPr>
            </w:pPr>
            <w:r>
              <w:rPr>
                <w:spacing w:val="-2"/>
                <w:sz w:val="22"/>
              </w:rPr>
              <w:t>Luiz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David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F.V.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Assumpção</w:t>
            </w:r>
          </w:p>
        </w:tc>
      </w:tr>
      <w:tr>
        <w:trPr>
          <w:trHeight w:val="691" w:hRule="atLeast"/>
        </w:trPr>
        <w:tc>
          <w:tcPr>
            <w:tcW w:w="2887" w:type="dxa"/>
          </w:tcPr>
          <w:p>
            <w:pPr>
              <w:pStyle w:val="TableParagraph"/>
              <w:spacing w:before="185"/>
              <w:rPr>
                <w:sz w:val="22"/>
              </w:rPr>
            </w:pPr>
          </w:p>
          <w:p>
            <w:pPr>
              <w:pStyle w:val="TableParagraph"/>
              <w:spacing w:line="233" w:lineRule="exact"/>
              <w:ind w:left="353"/>
              <w:rPr>
                <w:sz w:val="22"/>
              </w:rPr>
            </w:pPr>
            <w:r>
              <w:rPr>
                <w:sz w:val="22"/>
              </w:rPr>
              <w:t>Michelle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Lopes</w:t>
            </w:r>
          </w:p>
        </w:tc>
        <w:tc>
          <w:tcPr>
            <w:tcW w:w="3410" w:type="dxa"/>
          </w:tcPr>
          <w:p>
            <w:pPr>
              <w:pStyle w:val="TableParagraph"/>
              <w:spacing w:before="185"/>
              <w:rPr>
                <w:sz w:val="22"/>
              </w:rPr>
            </w:pPr>
          </w:p>
          <w:p>
            <w:pPr>
              <w:pStyle w:val="TableParagraph"/>
              <w:spacing w:line="233" w:lineRule="exact"/>
              <w:ind w:left="772"/>
              <w:rPr>
                <w:sz w:val="22"/>
              </w:rPr>
            </w:pPr>
            <w:r>
              <w:rPr>
                <w:sz w:val="22"/>
              </w:rPr>
              <w:t>Claudia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Martins</w:t>
            </w:r>
          </w:p>
        </w:tc>
        <w:tc>
          <w:tcPr>
            <w:tcW w:w="3338" w:type="dxa"/>
          </w:tcPr>
          <w:p>
            <w:pPr>
              <w:pStyle w:val="TableParagraph"/>
              <w:spacing w:before="185"/>
              <w:rPr>
                <w:sz w:val="22"/>
              </w:rPr>
            </w:pPr>
          </w:p>
          <w:p>
            <w:pPr>
              <w:pStyle w:val="TableParagraph"/>
              <w:spacing w:line="233" w:lineRule="exact"/>
              <w:ind w:left="706"/>
              <w:rPr>
                <w:sz w:val="22"/>
              </w:rPr>
            </w:pPr>
            <w:r>
              <w:rPr>
                <w:sz w:val="22"/>
              </w:rPr>
              <w:t>Michele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2"/>
                <w:sz w:val="22"/>
              </w:rPr>
              <w:t> Foster</w:t>
            </w:r>
          </w:p>
        </w:tc>
      </w:tr>
    </w:tbl>
    <w:sectPr>
      <w:pgSz w:w="11900" w:h="16840"/>
      <w:pgMar w:header="1412" w:footer="1483" w:top="2420" w:bottom="16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2217420</wp:posOffset>
              </wp:positionH>
              <wp:positionV relativeFrom="page">
                <wp:posOffset>9612093</wp:posOffset>
              </wp:positionV>
              <wp:extent cx="3128010" cy="3727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12801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000009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Dr.</w:t>
                          </w:r>
                          <w:r>
                            <w:rPr>
                              <w:color w:val="000009"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Alencar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Lima</w:t>
                          </w:r>
                          <w:r>
                            <w:rPr>
                              <w:color w:val="000009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35,</w:t>
                          </w:r>
                          <w:r>
                            <w:rPr>
                              <w:color w:val="000009"/>
                              <w:spacing w:val="33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Centro</w:t>
                          </w:r>
                          <w:r>
                            <w:rPr>
                              <w:color w:val="000009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Petrópolis</w:t>
                          </w:r>
                          <w:r>
                            <w:rPr>
                              <w:color w:val="000009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RJ</w:t>
                          </w:r>
                          <w:r>
                            <w:rPr>
                              <w:color w:val="000009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CEP.: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4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E-mail:</w:t>
                          </w:r>
                          <w:r>
                            <w:rPr>
                              <w:color w:val="000009"/>
                              <w:spacing w:val="-3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09"/>
                                <w:spacing w:val="-2"/>
                                <w:sz w:val="16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4.600006pt;margin-top:756.857788pt;width:246.3pt;height:29.35pt;mso-position-horizontal-relative:page;mso-position-vertical-relative:page;z-index:-1579110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Rua</w:t>
                    </w:r>
                    <w:r>
                      <w:rPr>
                        <w:color w:val="000009"/>
                        <w:spacing w:val="-8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Dr.</w:t>
                    </w:r>
                    <w:r>
                      <w:rPr>
                        <w:color w:val="000009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Alencar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Lima</w:t>
                    </w:r>
                    <w:r>
                      <w:rPr>
                        <w:color w:val="000009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35,</w:t>
                    </w:r>
                    <w:r>
                      <w:rPr>
                        <w:color w:val="000009"/>
                        <w:spacing w:val="33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Centro</w:t>
                    </w:r>
                    <w:r>
                      <w:rPr>
                        <w:color w:val="000009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-</w:t>
                    </w:r>
                    <w:r>
                      <w:rPr>
                        <w:color w:val="000009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Petrópolis</w:t>
                    </w:r>
                    <w:r>
                      <w:rPr>
                        <w:color w:val="000009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-</w:t>
                    </w:r>
                    <w:r>
                      <w:rPr>
                        <w:color w:val="000009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RJ</w:t>
                    </w:r>
                    <w:r>
                      <w:rPr>
                        <w:color w:val="000009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-</w:t>
                    </w:r>
                    <w:r>
                      <w:rPr>
                        <w:color w:val="000009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CEP.: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4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E-mail:</w:t>
                    </w:r>
                    <w:r>
                      <w:rPr>
                        <w:color w:val="000009"/>
                        <w:spacing w:val="-3"/>
                        <w:sz w:val="16"/>
                      </w:rPr>
                      <w:t> </w:t>
                    </w:r>
                    <w:hyperlink r:id="rId1">
                      <w:r>
                        <w:rPr>
                          <w:color w:val="000009"/>
                          <w:spacing w:val="-2"/>
                          <w:sz w:val="16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796290</wp:posOffset>
          </wp:positionH>
          <wp:positionV relativeFrom="page">
            <wp:posOffset>896619</wp:posOffset>
          </wp:positionV>
          <wp:extent cx="1282699" cy="444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2699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2223770</wp:posOffset>
              </wp:positionH>
              <wp:positionV relativeFrom="page">
                <wp:posOffset>886993</wp:posOffset>
              </wp:positionV>
              <wp:extent cx="307149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7149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5"/>
                              <w:sz w:val="22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5.100006pt;margin-top:69.841995pt;width:241.85pt;height:14.3pt;mso-position-horizontal-relative:page;mso-position-vertical-relative:page;z-index:-157926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sz w:val="22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2223770</wp:posOffset>
              </wp:positionH>
              <wp:positionV relativeFrom="page">
                <wp:posOffset>1048283</wp:posOffset>
              </wp:positionV>
              <wp:extent cx="1490345" cy="3416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0345" cy="341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exact"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4"/>
                              <w:sz w:val="22"/>
                            </w:rPr>
                            <w:t>CMPP</w:t>
                          </w:r>
                        </w:p>
                        <w:p>
                          <w:pPr>
                            <w:spacing w:line="252" w:lineRule="exact" w:before="0"/>
                            <w:ind w:left="571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2"/>
                              <w:sz w:val="22"/>
                            </w:rPr>
                            <w:t>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5.100006pt;margin-top:82.541992pt;width:117.35pt;height:26.9pt;mso-position-horizontal-relative:page;mso-position-vertical-relative:page;z-index:-15792128" type="#_x0000_t202" id="docshape2" filled="false" stroked="false">
              <v:textbox inset="0,0,0,0">
                <w:txbxContent>
                  <w:p>
                    <w:pPr>
                      <w:spacing w:line="252" w:lineRule="exact"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sz w:val="22"/>
                      </w:rPr>
                      <w:t>CMPP</w:t>
                    </w:r>
                  </w:p>
                  <w:p>
                    <w:pPr>
                      <w:spacing w:line="252" w:lineRule="exact" w:before="0"/>
                      <w:ind w:left="571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sz w:val="22"/>
                      </w:rPr>
                      <w:t>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4804727</wp:posOffset>
              </wp:positionH>
              <wp:positionV relativeFrom="page">
                <wp:posOffset>1048283</wp:posOffset>
              </wp:positionV>
              <wp:extent cx="1126490" cy="5029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26490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exact"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09"/>
                              <w:sz w:val="22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22"/>
                            </w:rPr>
                            <w:t>01</w:t>
                          </w:r>
                        </w:p>
                        <w:p>
                          <w:pPr>
                            <w:spacing w:line="252" w:lineRule="exact" w:before="0"/>
                            <w:ind w:left="35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09"/>
                              <w:sz w:val="22"/>
                            </w:rPr>
                            <w:t>Folha: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22"/>
                            </w:rPr>
                            <w:t>54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  <w:p>
                          <w:pPr>
                            <w:spacing w:before="1"/>
                            <w:ind w:left="53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09"/>
                              <w:sz w:val="22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2"/>
                              <w:sz w:val="22"/>
                            </w:rPr>
                            <w:t> 28/11/2017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8.325012pt;margin-top:82.541992pt;width:88.7pt;height:39.6pt;mso-position-horizontal-relative:page;mso-position-vertical-relative:page;z-index:-15791616" type="#_x0000_t202" id="docshape3" filled="false" stroked="false">
              <v:textbox inset="0,0,0,0">
                <w:txbxContent>
                  <w:p>
                    <w:pPr>
                      <w:spacing w:line="252" w:lineRule="exact"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000009"/>
                        <w:sz w:val="22"/>
                      </w:rPr>
                      <w:t>Livro:</w:t>
                    </w:r>
                    <w:r>
                      <w:rPr>
                        <w:rFonts w:ascii="Arial"/>
                        <w:b/>
                        <w:color w:val="000009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22"/>
                      </w:rPr>
                      <w:t>01</w:t>
                    </w:r>
                  </w:p>
                  <w:p>
                    <w:pPr>
                      <w:spacing w:line="252" w:lineRule="exact" w:before="0"/>
                      <w:ind w:left="35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000009"/>
                        <w:sz w:val="22"/>
                      </w:rPr>
                      <w:t>Folha:</w:t>
                    </w:r>
                    <w:r>
                      <w:rPr>
                        <w:rFonts w:ascii="Arial"/>
                        <w:b/>
                        <w:color w:val="000009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22"/>
                      </w:rPr>
                      <w:t>54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22"/>
                      </w:rPr>
                      <w:fldChar w:fldCharType="end"/>
                    </w:r>
                  </w:p>
                  <w:p>
                    <w:pPr>
                      <w:spacing w:before="1"/>
                      <w:ind w:left="53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000009"/>
                        <w:sz w:val="22"/>
                      </w:rPr>
                      <w:t>Data:</w:t>
                    </w:r>
                    <w:r>
                      <w:rPr>
                        <w:rFonts w:ascii="Arial"/>
                        <w:b/>
                        <w:color w:val="000009"/>
                        <w:spacing w:val="-2"/>
                        <w:sz w:val="22"/>
                      </w:rPr>
                      <w:t> 28/11/2017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2025-07-23T14:34:08Z</dcterms:created>
  <dcterms:modified xsi:type="dcterms:W3CDTF">2025-07-23T14:34:08Z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2017-12-18T00:00:00Z</vt:filetime>
  </property>
</Properties>
</file>