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5.613.077,73 </w:t>
      </w:r>
      <w:r>
        <w:rPr>
          <w:spacing w:val="-10"/>
          <w:sz w:val="14"/>
        </w:rPr>
        <w:t>D</w:t>
      </w:r>
      <w:r>
        <w:rPr>
          <w:sz w:val="14"/>
        </w:rPr>
        <w:tab/>
        <w:t>72.486.922,27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197.008,37 </w:t>
      </w:r>
      <w:r>
        <w:rPr>
          <w:spacing w:val="-10"/>
          <w:sz w:val="14"/>
        </w:rPr>
        <w:t>D</w:t>
      </w:r>
      <w:r>
        <w:rPr>
          <w:sz w:val="14"/>
        </w:rPr>
        <w:tab/>
        <w:t>2.713.991,63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197.008,37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2.713.991,63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46,72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953,28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189.696,45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2.110.303,55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7.265,20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92.734,80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5.416.069,36 </w:t>
      </w:r>
      <w:r>
        <w:rPr>
          <w:spacing w:val="-10"/>
          <w:sz w:val="14"/>
        </w:rPr>
        <w:t>D</w:t>
      </w:r>
      <w:r>
        <w:rPr>
          <w:sz w:val="14"/>
        </w:rPr>
        <w:tab/>
        <w:t>69.772.930,64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5.416.069,36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69.772.930,64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4.389.620,05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53.710.379,95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933.952,52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12.066.047,48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631,41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79.368,59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17.341,36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382.658,64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15.390,46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184.609,54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23.586,15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426.413,85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z w:val="14"/>
              </w:rPr>
              <w:t>3.944,30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279.055,70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31.533,03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1.968.466,97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5.613.077,73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72.586.922,27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01/02/2013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28/02/2013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17:11:05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01/02/2013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28/02/2013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17:11:05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01/02/2013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28/02/2013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17:11:05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01/02/2013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28/02/2013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17:11:05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2025-07-04T14:03:42Z</dcterms:created>
  <dcterms:modified xsi:type="dcterms:W3CDTF">2025-07-04T14:03:42Z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