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5.541.427,02 </w:t>
      </w:r>
      <w:r>
        <w:rPr>
          <w:spacing w:val="-10"/>
          <w:sz w:val="14"/>
        </w:rPr>
        <w:t>D</w:t>
      </w:r>
      <w:r>
        <w:rPr>
          <w:sz w:val="14"/>
        </w:rPr>
        <w:tab/>
        <w:t>72.558.572,98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199.813,07 </w:t>
      </w:r>
      <w:r>
        <w:rPr>
          <w:spacing w:val="-10"/>
          <w:sz w:val="14"/>
        </w:rPr>
        <w:t>D</w:t>
      </w:r>
      <w:r>
        <w:rPr>
          <w:sz w:val="14"/>
        </w:rPr>
        <w:tab/>
        <w:t>2.711.186,93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199.813,07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2.711.186,93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46,72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953,28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169.336,62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2.130.663,38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4.293,03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145.706,97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26.136,70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323.863,30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26.136,70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323.863,30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5.341.613,95 </w:t>
      </w:r>
      <w:r>
        <w:rPr>
          <w:spacing w:val="-10"/>
          <w:sz w:val="14"/>
        </w:rPr>
        <w:t>D</w:t>
      </w:r>
      <w:r>
        <w:rPr>
          <w:sz w:val="14"/>
        </w:rPr>
        <w:tab/>
        <w:t>69.847.386,05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5.341.613,95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69.847.386,05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4.366.974,55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53.733.025,45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936.141,07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12.063.858,93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9.506,73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440.493,27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28.921,52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1.971.078,48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5.541.427,02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72.658.572,98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01/01/2013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31/01/2013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17:10:02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01/01/2013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31/01/2013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17:10:02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01/01/2013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31/01/2013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17:10:02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01/01/2013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31/01/2013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17:10:02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2025-07-04T14:03:06Z</dcterms:created>
  <dcterms:modified xsi:type="dcterms:W3CDTF">2025-07-04T14:03:06Z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